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B31EE" w:rsidRPr="00DB31EE" w:rsidRDefault="00DB31EE" w:rsidP="00DB31EE">
      <w:pPr>
        <w:pStyle w:val="yiv3347793902msonormal"/>
        <w:jc w:val="center"/>
        <w:rPr>
          <w:rFonts w:asciiTheme="majorHAnsi" w:hAnsiTheme="majorHAnsi"/>
          <w:sz w:val="22"/>
          <w:szCs w:val="22"/>
          <w:lang w:val="es-US"/>
        </w:rPr>
      </w:pPr>
      <w:r w:rsidRPr="00DB31EE">
        <w:rPr>
          <w:rFonts w:asciiTheme="majorHAnsi" w:hAnsiTheme="majorHAnsi"/>
          <w:sz w:val="22"/>
          <w:szCs w:val="22"/>
          <w:lang w:val="es-US"/>
        </w:rPr>
        <w:t>Financiado por el BCIE</w:t>
      </w:r>
    </w:p>
    <w:p w:rsidR="00DB31EE" w:rsidRPr="00DB31EE" w:rsidRDefault="00DB31EE" w:rsidP="00DB31EE">
      <w:pPr>
        <w:pStyle w:val="yiv3347793902msonormal"/>
        <w:jc w:val="center"/>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B31EE">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Comienza a tomar forma Plan Maestro para el Desarrollo del Golfo de Fonseca</w:t>
      </w:r>
    </w:p>
    <w:p w:rsidR="00DB31EE" w:rsidRPr="00DB31EE" w:rsidRDefault="00DB31EE" w:rsidP="00DB31EE">
      <w:pPr>
        <w:pStyle w:val="yiv3347793902msonormal"/>
        <w:numPr>
          <w:ilvl w:val="0"/>
          <w:numId w:val="8"/>
        </w:numPr>
        <w:jc w:val="both"/>
        <w:rPr>
          <w:rFonts w:asciiTheme="majorHAnsi" w:hAnsiTheme="majorHAnsi"/>
          <w:color w:val="002060"/>
          <w:sz w:val="22"/>
          <w:szCs w:val="22"/>
          <w:lang w:val="es-US"/>
        </w:rPr>
      </w:pPr>
      <w:r w:rsidRPr="00DB31EE">
        <w:rPr>
          <w:rFonts w:asciiTheme="majorHAnsi" w:hAnsiTheme="majorHAnsi"/>
          <w:bCs/>
          <w:color w:val="002060"/>
          <w:sz w:val="22"/>
          <w:szCs w:val="22"/>
          <w:lang w:val="es-US"/>
        </w:rPr>
        <w:t>El proyecto de desarrollo sostenible del Golfo de Fonseca fue retomado en 2014 por iniciativa del presidente Hernández</w:t>
      </w:r>
    </w:p>
    <w:p w:rsidR="00DB31EE" w:rsidRPr="00DB31EE" w:rsidRDefault="00DB31EE" w:rsidP="00DB31EE">
      <w:pPr>
        <w:pStyle w:val="yiv3347793902msonormal"/>
        <w:numPr>
          <w:ilvl w:val="0"/>
          <w:numId w:val="8"/>
        </w:numPr>
        <w:jc w:val="both"/>
        <w:rPr>
          <w:rFonts w:asciiTheme="majorHAnsi" w:hAnsiTheme="majorHAnsi"/>
          <w:color w:val="002060"/>
          <w:sz w:val="22"/>
          <w:szCs w:val="22"/>
          <w:lang w:val="es-US"/>
        </w:rPr>
      </w:pPr>
      <w:r w:rsidRPr="00DB31EE">
        <w:rPr>
          <w:rFonts w:asciiTheme="majorHAnsi" w:hAnsiTheme="majorHAnsi"/>
          <w:bCs/>
          <w:color w:val="002060"/>
          <w:sz w:val="22"/>
          <w:szCs w:val="22"/>
          <w:lang w:val="es-US"/>
        </w:rPr>
        <w:t>Con el desarrollo del Golfo se beneficiarán miles de personas entre los tres países.</w:t>
      </w:r>
    </w:p>
    <w:p w:rsidR="00DB31EE" w:rsidRPr="008E1503" w:rsidRDefault="00DB31EE" w:rsidP="00DB31EE">
      <w:pPr>
        <w:pStyle w:val="yiv3347793902msonormal"/>
        <w:jc w:val="both"/>
        <w:rPr>
          <w:rFonts w:asciiTheme="majorHAnsi" w:hAnsiTheme="majorHAnsi"/>
          <w:color w:val="002060"/>
          <w:sz w:val="22"/>
          <w:szCs w:val="22"/>
        </w:rPr>
      </w:pPr>
      <w:r w:rsidRPr="00DB31EE">
        <w:rPr>
          <w:rFonts w:asciiTheme="majorHAnsi" w:hAnsiTheme="majorHAnsi"/>
          <w:bCs/>
          <w:color w:val="002060"/>
          <w:sz w:val="22"/>
          <w:szCs w:val="22"/>
          <w:lang w:val="es-US"/>
        </w:rPr>
        <w:t> </w:t>
      </w:r>
      <w:r w:rsidR="008E1503">
        <w:rPr>
          <w:rFonts w:asciiTheme="majorHAnsi" w:hAnsiTheme="majorHAnsi"/>
          <w:bCs/>
          <w:noProof/>
          <w:color w:val="002060"/>
          <w:sz w:val="22"/>
          <w:szCs w:val="22"/>
        </w:rPr>
        <w:drawing>
          <wp:inline distT="0" distB="0" distL="0" distR="0">
            <wp:extent cx="5334000" cy="2835189"/>
            <wp:effectExtent l="0" t="0" r="0" b="3810"/>
            <wp:docPr id="2" name="Imagen 2" descr="C:\Users\Comunicacio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7423" cy="2852954"/>
                    </a:xfrm>
                    <a:prstGeom prst="rect">
                      <a:avLst/>
                    </a:prstGeom>
                    <a:noFill/>
                    <a:ln>
                      <a:noFill/>
                    </a:ln>
                  </pic:spPr>
                </pic:pic>
              </a:graphicData>
            </a:graphic>
          </wp:inline>
        </w:drawing>
      </w:r>
    </w:p>
    <w:p w:rsidR="00DB31EE" w:rsidRPr="00DB31EE" w:rsidRDefault="00DB31EE" w:rsidP="00DB31EE">
      <w:pPr>
        <w:pStyle w:val="yiv3347793902msonormal"/>
        <w:jc w:val="both"/>
        <w:rPr>
          <w:rFonts w:asciiTheme="majorHAnsi" w:hAnsiTheme="majorHAnsi"/>
          <w:sz w:val="22"/>
          <w:szCs w:val="22"/>
          <w:lang w:val="es-US"/>
        </w:rPr>
      </w:pPr>
      <w:r w:rsidRPr="00DB31EE">
        <w:rPr>
          <w:rFonts w:asciiTheme="majorHAnsi" w:hAnsiTheme="majorHAnsi"/>
          <w:b/>
          <w:bCs/>
          <w:sz w:val="22"/>
          <w:szCs w:val="22"/>
          <w:lang w:val="es-US"/>
        </w:rPr>
        <w:t>Tegucigalpa, 21 de agosto.-</w:t>
      </w:r>
      <w:r w:rsidRPr="00DB31EE">
        <w:rPr>
          <w:rFonts w:asciiTheme="majorHAnsi" w:hAnsiTheme="majorHAnsi"/>
          <w:sz w:val="22"/>
          <w:szCs w:val="22"/>
          <w:lang w:val="es-US"/>
        </w:rPr>
        <w:t>  Después de años de abandono,  el proyecto de desarrollo sostenible del Golfo de Fonseca fue retomado en 2014 por iniciativa del presidente Juan Orlando Hernández, dándole seguimiento hasta hacer realidad lo que será el plan de manejo tripartito en forma integral.</w:t>
      </w:r>
    </w:p>
    <w:p w:rsidR="00DB31EE" w:rsidRPr="00DB31EE" w:rsidRDefault="00DB31EE" w:rsidP="00DB31EE">
      <w:pPr>
        <w:pStyle w:val="yiv3347793902msonormal"/>
        <w:jc w:val="both"/>
        <w:rPr>
          <w:rFonts w:asciiTheme="majorHAnsi" w:hAnsiTheme="majorHAnsi"/>
          <w:sz w:val="22"/>
          <w:szCs w:val="22"/>
          <w:lang w:val="es-US"/>
        </w:rPr>
      </w:pPr>
      <w:r w:rsidRPr="00DB31EE">
        <w:rPr>
          <w:rFonts w:asciiTheme="majorHAnsi" w:hAnsiTheme="majorHAnsi"/>
          <w:sz w:val="22"/>
          <w:szCs w:val="22"/>
          <w:lang w:val="es-US"/>
        </w:rPr>
        <w:t>Como parte del trabajo que se viene desarrollando desde la declaración conjunta del 25 de agosto de 2014,  las comisiones de los tres países ribereños (Honduras, Nicaragua y El Salvador) han realizado a la fecha 13 reuniones técnicas trasnacionales, logrando importantes avances, como la aprobación de los términos de referencia (TDRs) para la elaboración del plan maestro.</w:t>
      </w:r>
    </w:p>
    <w:p w:rsidR="00DB31EE" w:rsidRPr="00DB31EE" w:rsidRDefault="00DB31EE" w:rsidP="00DB31EE">
      <w:pPr>
        <w:pStyle w:val="yiv3347793902msonormal"/>
        <w:jc w:val="both"/>
        <w:rPr>
          <w:rFonts w:asciiTheme="majorHAnsi" w:hAnsiTheme="majorHAnsi"/>
          <w:sz w:val="22"/>
          <w:szCs w:val="22"/>
          <w:lang w:val="es-US"/>
        </w:rPr>
      </w:pPr>
      <w:r w:rsidRPr="00DB31EE">
        <w:rPr>
          <w:rFonts w:asciiTheme="majorHAnsi" w:hAnsiTheme="majorHAnsi"/>
          <w:sz w:val="22"/>
          <w:szCs w:val="22"/>
          <w:lang w:val="es-US"/>
        </w:rPr>
        <w:lastRenderedPageBreak/>
        <w:t>Los TDRs  tienen como objetivo diseñar el plan de proyectos de inversión, como instrumento de planificación, negociación y gestión que impulse el desarrollo multiterritorial y multidimensional a corto, mediano y largo plazo de la zona trinacional del Golfo.</w:t>
      </w:r>
    </w:p>
    <w:p w:rsidR="00DB31EE" w:rsidRDefault="00DB31EE" w:rsidP="00DB31EE">
      <w:pPr>
        <w:pStyle w:val="yiv3347793902msonormal"/>
        <w:jc w:val="both"/>
        <w:rPr>
          <w:rFonts w:asciiTheme="majorHAnsi" w:hAnsiTheme="majorHAnsi"/>
          <w:sz w:val="22"/>
          <w:szCs w:val="22"/>
          <w:lang w:val="es-US"/>
        </w:rPr>
      </w:pPr>
      <w:r w:rsidRPr="00DB31EE">
        <w:rPr>
          <w:rFonts w:asciiTheme="majorHAnsi" w:hAnsiTheme="majorHAnsi"/>
          <w:sz w:val="22"/>
          <w:szCs w:val="22"/>
          <w:lang w:val="es-US"/>
        </w:rPr>
        <w:t>Como ente financiero, expertos y asesores del Banco Centroamericano de Integración Económica (BCIE) comenzaron la elaboración  de los planes de referencia del Plan Maestro para el Desarrollo Sostenible del Golfo de Fonseca, una iniciativa del presidente Hernández en conjunto con sus homólogos de El Salvador y Nicaragua, Salvador Sánchez Cerén y Daniel Ortega, respectivamente.</w:t>
      </w:r>
    </w:p>
    <w:p w:rsidR="008E1503" w:rsidRDefault="008E1503" w:rsidP="00DB31EE">
      <w:pPr>
        <w:pStyle w:val="yiv3347793902msonormal"/>
        <w:jc w:val="both"/>
        <w:rPr>
          <w:rFonts w:asciiTheme="majorHAnsi" w:hAnsiTheme="majorHAnsi"/>
          <w:sz w:val="22"/>
          <w:szCs w:val="22"/>
          <w:lang w:val="es-US"/>
        </w:rPr>
      </w:pPr>
    </w:p>
    <w:p w:rsidR="008E1503" w:rsidRPr="00DB31EE" w:rsidRDefault="008E1503" w:rsidP="00DB31EE">
      <w:pPr>
        <w:pStyle w:val="yiv3347793902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4200525"/>
            <wp:effectExtent l="0" t="0" r="0" b="9525"/>
            <wp:docPr id="3" name="Imagen 3" descr="C:\Users\Comunicacio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0700" cy="4200525"/>
                    </a:xfrm>
                    <a:prstGeom prst="rect">
                      <a:avLst/>
                    </a:prstGeom>
                    <a:noFill/>
                    <a:ln>
                      <a:noFill/>
                    </a:ln>
                  </pic:spPr>
                </pic:pic>
              </a:graphicData>
            </a:graphic>
          </wp:inline>
        </w:drawing>
      </w:r>
      <w:bookmarkStart w:id="0" w:name="_GoBack"/>
      <w:bookmarkEnd w:id="0"/>
    </w:p>
    <w:p w:rsidR="00DB31EE" w:rsidRPr="00DB31EE" w:rsidRDefault="00DB31EE" w:rsidP="00DB31EE">
      <w:pPr>
        <w:pStyle w:val="yiv3347793902msonormal"/>
        <w:jc w:val="both"/>
        <w:rPr>
          <w:rFonts w:asciiTheme="majorHAnsi" w:hAnsiTheme="majorHAnsi"/>
          <w:sz w:val="22"/>
          <w:szCs w:val="22"/>
          <w:lang w:val="es-US"/>
        </w:rPr>
      </w:pPr>
      <w:r w:rsidRPr="00DB31EE">
        <w:rPr>
          <w:rFonts w:asciiTheme="majorHAnsi" w:hAnsiTheme="majorHAnsi"/>
          <w:sz w:val="22"/>
          <w:szCs w:val="22"/>
          <w:lang w:val="es-US"/>
        </w:rPr>
        <w:t>En la XII Reunión Técnica Trinacional sobre el Golfo de Fonseca, que tuvo lugar el 24 de febrero en Tegucigalpa, se dieron pasos concretos para dar cumplimiento a los mandatos de los presidentes de Nicaragua, El Salvador y Honduras, en lo relativo a la elaboración del Plan Maestro de Inversiones y Desarrollo para la Zona del Golfo de Fonseca.</w:t>
      </w:r>
    </w:p>
    <w:p w:rsidR="00DB31EE" w:rsidRPr="00DB31EE" w:rsidRDefault="00DB31EE" w:rsidP="00DB31EE">
      <w:pPr>
        <w:pStyle w:val="yiv3347793902msonormal"/>
        <w:jc w:val="both"/>
        <w:rPr>
          <w:rFonts w:asciiTheme="majorHAnsi" w:hAnsiTheme="majorHAnsi"/>
          <w:sz w:val="22"/>
          <w:szCs w:val="22"/>
          <w:lang w:val="es-US"/>
        </w:rPr>
      </w:pPr>
      <w:r w:rsidRPr="00DB31EE">
        <w:rPr>
          <w:rFonts w:asciiTheme="majorHAnsi" w:hAnsiTheme="majorHAnsi"/>
          <w:sz w:val="22"/>
          <w:szCs w:val="22"/>
          <w:lang w:val="es-US"/>
        </w:rPr>
        <w:t>En este evento los delegados presidenciales de los tres países hicieron entrega de la carta firmada por los tres mandatarios, mediante el cual designan al BCIE como la entidad financiera regional  que liderará el proceso de formulación del plan maestro.</w:t>
      </w:r>
    </w:p>
    <w:p w:rsidR="00DB31EE" w:rsidRPr="00DB31EE" w:rsidRDefault="00DB31EE" w:rsidP="00DB31EE">
      <w:pPr>
        <w:pStyle w:val="yiv3347793902msonormal"/>
        <w:jc w:val="both"/>
        <w:rPr>
          <w:rFonts w:asciiTheme="majorHAnsi" w:hAnsiTheme="majorHAnsi"/>
          <w:sz w:val="22"/>
          <w:szCs w:val="22"/>
          <w:lang w:val="es-US"/>
        </w:rPr>
      </w:pPr>
      <w:r w:rsidRPr="00DB31EE">
        <w:rPr>
          <w:rFonts w:asciiTheme="majorHAnsi" w:hAnsiTheme="majorHAnsi"/>
          <w:sz w:val="22"/>
          <w:szCs w:val="22"/>
          <w:lang w:val="es-US"/>
        </w:rPr>
        <w:t xml:space="preserve">La declaración conjunta  instruye a los Delegados Presidenciales de cada país contactar a los organismos multilaterales de financiamiento en cada uno de los países, comunicarles de los </w:t>
      </w:r>
      <w:r w:rsidRPr="00DB31EE">
        <w:rPr>
          <w:rFonts w:asciiTheme="majorHAnsi" w:hAnsiTheme="majorHAnsi"/>
          <w:sz w:val="22"/>
          <w:szCs w:val="22"/>
          <w:lang w:val="es-US"/>
        </w:rPr>
        <w:lastRenderedPageBreak/>
        <w:t>resultados de este encuentro y solicitar el acompañamiento de los mismos en esta iniciativa que beneficiará a las poblaciones del Golfo de Fonseca.</w:t>
      </w:r>
    </w:p>
    <w:p w:rsidR="00DB31EE" w:rsidRPr="00DB31EE" w:rsidRDefault="00DB31EE" w:rsidP="00DB31EE">
      <w:pPr>
        <w:pStyle w:val="yiv3347793902msonormal"/>
        <w:jc w:val="both"/>
        <w:rPr>
          <w:rFonts w:asciiTheme="majorHAnsi" w:hAnsiTheme="majorHAnsi"/>
          <w:sz w:val="22"/>
          <w:szCs w:val="22"/>
          <w:lang w:val="es-US"/>
        </w:rPr>
      </w:pPr>
      <w:r w:rsidRPr="00DB31EE">
        <w:rPr>
          <w:rFonts w:asciiTheme="majorHAnsi" w:hAnsiTheme="majorHAnsi"/>
          <w:sz w:val="22"/>
          <w:szCs w:val="22"/>
          <w:lang w:val="es-US"/>
        </w:rPr>
        <w:t>Desde los primeros pasos de esta iniciativa presidencial en 2014, el mandatario hondureño se ha reunido autoridades municipales de la zona, así como con los sectores empresariales y otros actores locales de la región,</w:t>
      </w:r>
    </w:p>
    <w:p w:rsidR="00DB31EE" w:rsidRPr="00DB31EE" w:rsidRDefault="00DB31EE" w:rsidP="00DB31EE">
      <w:pPr>
        <w:pStyle w:val="yiv3347793902msonormal"/>
        <w:jc w:val="both"/>
        <w:rPr>
          <w:rFonts w:asciiTheme="majorHAnsi" w:hAnsiTheme="majorHAnsi"/>
          <w:sz w:val="22"/>
          <w:szCs w:val="22"/>
          <w:lang w:val="es-US"/>
        </w:rPr>
      </w:pPr>
      <w:r w:rsidRPr="00DB31EE">
        <w:rPr>
          <w:rFonts w:asciiTheme="majorHAnsi" w:hAnsiTheme="majorHAnsi"/>
          <w:b/>
          <w:bCs/>
          <w:sz w:val="22"/>
          <w:szCs w:val="22"/>
          <w:lang w:val="es-MX"/>
        </w:rPr>
        <w:t>Contenido</w:t>
      </w:r>
    </w:p>
    <w:p w:rsidR="00DB31EE" w:rsidRPr="00DB31EE" w:rsidRDefault="00DB31EE" w:rsidP="00DB31EE">
      <w:pPr>
        <w:pStyle w:val="yiv3347793902msonormal"/>
        <w:jc w:val="both"/>
        <w:rPr>
          <w:rFonts w:asciiTheme="majorHAnsi" w:hAnsiTheme="majorHAnsi"/>
          <w:sz w:val="22"/>
          <w:szCs w:val="22"/>
          <w:lang w:val="es-US"/>
        </w:rPr>
      </w:pPr>
      <w:r w:rsidRPr="00DB31EE">
        <w:rPr>
          <w:rFonts w:asciiTheme="majorHAnsi" w:hAnsiTheme="majorHAnsi"/>
          <w:sz w:val="22"/>
          <w:szCs w:val="22"/>
          <w:lang w:val="es-MX"/>
        </w:rPr>
        <w:t>La base para la elaboración del plan es parte del acuerdo conjunto del 25 de agosto de 2014, firmado por los presidentes  de estos tres países, donde por iniciativa del presidente hondureño retomaron y actualizaron los acuerdos de la declaración de Managua de 2012.</w:t>
      </w:r>
    </w:p>
    <w:p w:rsidR="00DB31EE" w:rsidRPr="00DB31EE" w:rsidRDefault="00DB31EE" w:rsidP="00DB31EE">
      <w:pPr>
        <w:pStyle w:val="yiv3347793902msonormal"/>
        <w:jc w:val="both"/>
        <w:rPr>
          <w:rFonts w:asciiTheme="majorHAnsi" w:hAnsiTheme="majorHAnsi"/>
          <w:sz w:val="22"/>
          <w:szCs w:val="22"/>
          <w:lang w:val="es-US"/>
        </w:rPr>
      </w:pPr>
      <w:r w:rsidRPr="00DB31EE">
        <w:rPr>
          <w:rFonts w:asciiTheme="majorHAnsi" w:hAnsiTheme="majorHAnsi"/>
          <w:sz w:val="22"/>
          <w:szCs w:val="22"/>
          <w:lang w:val="es-US"/>
        </w:rPr>
        <w:t>Los proyectos estarán direccionados a las siguientes áreas: Infraestructura, turismo, agroindustria, energía renovable, inversión y libre comercio</w:t>
      </w:r>
    </w:p>
    <w:p w:rsidR="00DB31EE" w:rsidRPr="00DB31EE" w:rsidRDefault="00DB31EE" w:rsidP="00DB31EE">
      <w:pPr>
        <w:pStyle w:val="yiv3347793902msonormal"/>
        <w:jc w:val="both"/>
        <w:rPr>
          <w:rFonts w:asciiTheme="majorHAnsi" w:hAnsiTheme="majorHAnsi"/>
          <w:sz w:val="22"/>
          <w:szCs w:val="22"/>
          <w:lang w:val="es-US"/>
        </w:rPr>
      </w:pPr>
      <w:r w:rsidRPr="00DB31EE">
        <w:rPr>
          <w:rFonts w:asciiTheme="majorHAnsi" w:hAnsiTheme="majorHAnsi"/>
          <w:sz w:val="22"/>
          <w:szCs w:val="22"/>
          <w:lang w:val="es-MX"/>
        </w:rPr>
        <w:t>La declaración contiene la elaboración de un Plan Maestro de inversión y desarrollo económico de carácter trinacional en el Golfo de Fonseca, que comprende, proyectos del ferry en puerto La Unión-Puerto Corinto y el transbordador La Unión-Potosí, ampliándose hacia San Lorenzo.</w:t>
      </w:r>
    </w:p>
    <w:p w:rsidR="00DB31EE" w:rsidRPr="00DB31EE" w:rsidRDefault="00DB31EE" w:rsidP="00DB31EE">
      <w:pPr>
        <w:pStyle w:val="yiv3347793902msonormal"/>
        <w:jc w:val="both"/>
        <w:rPr>
          <w:rFonts w:asciiTheme="majorHAnsi" w:hAnsiTheme="majorHAnsi"/>
          <w:sz w:val="22"/>
          <w:szCs w:val="22"/>
          <w:lang w:val="es-US"/>
        </w:rPr>
      </w:pPr>
      <w:r w:rsidRPr="00DB31EE">
        <w:rPr>
          <w:rFonts w:asciiTheme="majorHAnsi" w:hAnsiTheme="majorHAnsi"/>
          <w:sz w:val="22"/>
          <w:szCs w:val="22"/>
          <w:lang w:val="es-US"/>
        </w:rPr>
        <w:t>Establece también el desarrollo  e implementación de una Zona de Empleo de Desarrollo Económico (ZEDE) que incluya un parque logístico, así como  dar inicio a las coordinaciones necesarias entre los tres países para convertir el Golfo de Fonseca en una Zona de Libre Comercio y Turismo Sostenible.</w:t>
      </w:r>
    </w:p>
    <w:p w:rsidR="00DB31EE" w:rsidRPr="00DB31EE" w:rsidRDefault="00DB31EE" w:rsidP="00DB31EE">
      <w:pPr>
        <w:pStyle w:val="yiv3347793902msonormal"/>
        <w:jc w:val="both"/>
        <w:rPr>
          <w:rFonts w:asciiTheme="majorHAnsi" w:hAnsiTheme="majorHAnsi"/>
          <w:sz w:val="22"/>
          <w:szCs w:val="22"/>
          <w:lang w:val="es-US"/>
        </w:rPr>
      </w:pPr>
      <w:r w:rsidRPr="00DB31EE">
        <w:rPr>
          <w:rFonts w:asciiTheme="majorHAnsi" w:hAnsiTheme="majorHAnsi"/>
          <w:b/>
          <w:bCs/>
          <w:sz w:val="22"/>
          <w:szCs w:val="22"/>
          <w:lang w:val="es-US"/>
        </w:rPr>
        <w:t>Antecedentes</w:t>
      </w:r>
    </w:p>
    <w:p w:rsidR="00DB31EE" w:rsidRPr="00DB31EE" w:rsidRDefault="00DB31EE" w:rsidP="00DB31EE">
      <w:pPr>
        <w:pStyle w:val="yiv3347793902msonormal"/>
        <w:jc w:val="both"/>
        <w:rPr>
          <w:rFonts w:asciiTheme="majorHAnsi" w:hAnsiTheme="majorHAnsi"/>
          <w:sz w:val="22"/>
          <w:szCs w:val="22"/>
          <w:lang w:val="es-US"/>
        </w:rPr>
      </w:pPr>
      <w:r w:rsidRPr="00DB31EE">
        <w:rPr>
          <w:rFonts w:asciiTheme="majorHAnsi" w:hAnsiTheme="majorHAnsi"/>
          <w:sz w:val="22"/>
          <w:szCs w:val="22"/>
          <w:lang w:val="es-US"/>
        </w:rPr>
        <w:t>El 4 de octubre de 2007 marcó un acontecimiento histórico. Los mandatarios de los tres países con fronteras en el Golfo de Fonseca proponen colaborar para abordar y resolver los temas relacionados al Golfo de Fonseca, declarándola como zona  de paz, desarrollo sostenible y seguridad.</w:t>
      </w:r>
    </w:p>
    <w:p w:rsidR="00DB31EE" w:rsidRPr="00DB31EE" w:rsidRDefault="00DB31EE" w:rsidP="00DB31EE">
      <w:pPr>
        <w:pStyle w:val="yiv3347793902msonormal"/>
        <w:jc w:val="both"/>
        <w:rPr>
          <w:rFonts w:asciiTheme="majorHAnsi" w:hAnsiTheme="majorHAnsi"/>
          <w:sz w:val="22"/>
          <w:szCs w:val="22"/>
          <w:lang w:val="es-US"/>
        </w:rPr>
      </w:pPr>
      <w:r w:rsidRPr="00DB31EE">
        <w:rPr>
          <w:rFonts w:asciiTheme="majorHAnsi" w:hAnsiTheme="majorHAnsi"/>
          <w:sz w:val="22"/>
          <w:szCs w:val="22"/>
          <w:lang w:val="es-US"/>
        </w:rPr>
        <w:t>El 12 de febrero de 2008 se aprobó la creación  de las mesas de trabajo trasnacionales. En ese momento se habló sobre el fomento al desarrollo turístico sostenible, social y comunitario, así como  de la protección al medio ambiente, especies marinas, costeras y territoriales, fortalecimiento de los municipios de los tres países, desarrollo portuario, infraestructura, defensa y seguridad.</w:t>
      </w:r>
    </w:p>
    <w:p w:rsidR="00DB31EE" w:rsidRPr="00DB31EE" w:rsidRDefault="00DB31EE" w:rsidP="00DB31EE">
      <w:pPr>
        <w:pStyle w:val="yiv3347793902msonormal"/>
        <w:jc w:val="both"/>
        <w:rPr>
          <w:rFonts w:asciiTheme="majorHAnsi" w:hAnsiTheme="majorHAnsi"/>
          <w:sz w:val="22"/>
          <w:szCs w:val="22"/>
          <w:lang w:val="es-US"/>
        </w:rPr>
      </w:pPr>
      <w:r w:rsidRPr="00DB31EE">
        <w:rPr>
          <w:rFonts w:asciiTheme="majorHAnsi" w:hAnsiTheme="majorHAnsi"/>
          <w:sz w:val="22"/>
          <w:szCs w:val="22"/>
          <w:lang w:val="es-US"/>
        </w:rPr>
        <w:t>En 2012 los  presidentes de estos tres países centroamericanos actualizan las mesas de trabajo estipuladas en el acuerdo de 2007, con la finalidad de mantener el Golfo de Fonseca como una zona de paz, desarrollo sostenible y seguridad.</w:t>
      </w:r>
    </w:p>
    <w:p w:rsidR="00DB31EE" w:rsidRPr="00DB31EE" w:rsidRDefault="00DB31EE" w:rsidP="00DB31EE">
      <w:pPr>
        <w:pStyle w:val="yiv3347793902msonormal"/>
        <w:jc w:val="both"/>
        <w:rPr>
          <w:rFonts w:asciiTheme="majorHAnsi" w:hAnsiTheme="majorHAnsi"/>
          <w:sz w:val="22"/>
          <w:szCs w:val="22"/>
          <w:lang w:val="es-US"/>
        </w:rPr>
      </w:pPr>
      <w:r w:rsidRPr="00DB31EE">
        <w:rPr>
          <w:rFonts w:asciiTheme="majorHAnsi" w:hAnsiTheme="majorHAnsi"/>
          <w:sz w:val="22"/>
          <w:szCs w:val="22"/>
          <w:lang w:val="es-US"/>
        </w:rPr>
        <w:t>En 2014, el presidente Hernández invitó a sus homólogos de El Salvador y  Nicaragua, tal como lo hizo con la Unión aduanera, a buscar el camino para hacer realidad el plan de manejo del Golfo, como una oportunidad  de desarrollo para los tres países.  </w:t>
      </w:r>
    </w:p>
    <w:p w:rsidR="00DB31EE" w:rsidRPr="00DB31EE" w:rsidRDefault="00DB31EE" w:rsidP="00DB31EE">
      <w:pPr>
        <w:pStyle w:val="yiv3347793902msonormal"/>
        <w:jc w:val="both"/>
        <w:rPr>
          <w:rFonts w:asciiTheme="majorHAnsi" w:hAnsiTheme="majorHAnsi"/>
          <w:sz w:val="22"/>
          <w:szCs w:val="22"/>
          <w:lang w:val="es-US"/>
        </w:rPr>
      </w:pPr>
      <w:r w:rsidRPr="00DB31EE">
        <w:rPr>
          <w:rFonts w:asciiTheme="majorHAnsi" w:hAnsiTheme="majorHAnsi"/>
          <w:sz w:val="22"/>
          <w:szCs w:val="22"/>
          <w:lang w:val="es-US"/>
        </w:rPr>
        <w:lastRenderedPageBreak/>
        <w:t>Por su posición geográfica y su ubicación en el Océano Pacífico, el Golfo de Fonseca ofrece a la región oportunidades de ingresos a través del comercio mundial,  generado una mayor estabilidad y calidad de vida para los habitantes de la zona.</w:t>
      </w:r>
    </w:p>
    <w:p w:rsidR="00DB31EE" w:rsidRPr="00DB31EE" w:rsidRDefault="00DB31EE" w:rsidP="00DB31EE">
      <w:pPr>
        <w:pStyle w:val="yiv3347793902msonormal"/>
        <w:jc w:val="both"/>
        <w:rPr>
          <w:rFonts w:asciiTheme="majorHAnsi" w:hAnsiTheme="majorHAnsi"/>
          <w:sz w:val="22"/>
          <w:szCs w:val="22"/>
          <w:lang w:val="es-US"/>
        </w:rPr>
      </w:pPr>
      <w:r w:rsidRPr="00DB31EE">
        <w:rPr>
          <w:rFonts w:asciiTheme="majorHAnsi" w:hAnsiTheme="majorHAnsi"/>
          <w:sz w:val="22"/>
          <w:szCs w:val="22"/>
          <w:lang w:val="es-US"/>
        </w:rPr>
        <w:t>En ese contexto se necesitaba una dinámica para encauzar los esfuerzos con la propuesta de una integración trinacional que dentro de poco será una realidad y que cambiará la vida de miles de personas en esa zona que involucra a los tres países.</w:t>
      </w:r>
    </w:p>
    <w:p w:rsidR="00DB31EE" w:rsidRPr="00DB31EE" w:rsidRDefault="00DB31EE" w:rsidP="00DB31EE">
      <w:pPr>
        <w:pStyle w:val="yiv3347793902msonormal"/>
        <w:jc w:val="both"/>
        <w:rPr>
          <w:rFonts w:asciiTheme="majorHAnsi" w:hAnsiTheme="majorHAnsi"/>
          <w:sz w:val="22"/>
          <w:szCs w:val="22"/>
          <w:lang w:val="es-US"/>
        </w:rPr>
      </w:pPr>
      <w:r w:rsidRPr="00DB31EE">
        <w:rPr>
          <w:rFonts w:asciiTheme="majorHAnsi" w:hAnsiTheme="majorHAnsi"/>
          <w:b/>
          <w:bCs/>
          <w:sz w:val="22"/>
          <w:szCs w:val="22"/>
          <w:lang w:val="es-US"/>
        </w:rPr>
        <w:t>Riquezas del Golfo</w:t>
      </w:r>
    </w:p>
    <w:p w:rsidR="00DB31EE" w:rsidRPr="00DB31EE" w:rsidRDefault="00DB31EE" w:rsidP="00DB31EE">
      <w:pPr>
        <w:pStyle w:val="yiv3347793902msonormal"/>
        <w:jc w:val="both"/>
        <w:rPr>
          <w:rFonts w:asciiTheme="majorHAnsi" w:hAnsiTheme="majorHAnsi"/>
          <w:sz w:val="22"/>
          <w:szCs w:val="22"/>
          <w:lang w:val="es-US"/>
        </w:rPr>
      </w:pPr>
      <w:r w:rsidRPr="00DB31EE">
        <w:rPr>
          <w:rFonts w:asciiTheme="majorHAnsi" w:hAnsiTheme="majorHAnsi"/>
          <w:sz w:val="22"/>
          <w:szCs w:val="22"/>
          <w:lang w:val="es-US"/>
        </w:rPr>
        <w:t>El Golfo de Fonseca es una zona rica en biodiversidad compartida entre Honduras, El Salvador y Nicaragua, con hábitat terrestre, costero y marino con bosques de pino montañas costeras, lagunas estacionales, humedales continentales, pantanos y manglares, cuenta con un ecosistema propio del trópico del Pacifico, así como sabanas de morro,</w:t>
      </w:r>
    </w:p>
    <w:p w:rsidR="00DB31EE" w:rsidRPr="00DB31EE" w:rsidRDefault="00DB31EE" w:rsidP="00DB31EE">
      <w:pPr>
        <w:pStyle w:val="yiv3347793902msonormal"/>
        <w:jc w:val="both"/>
        <w:rPr>
          <w:rFonts w:asciiTheme="majorHAnsi" w:hAnsiTheme="majorHAnsi"/>
          <w:sz w:val="22"/>
          <w:szCs w:val="22"/>
          <w:lang w:val="es-US"/>
        </w:rPr>
      </w:pPr>
      <w:r w:rsidRPr="00DB31EE">
        <w:rPr>
          <w:rFonts w:asciiTheme="majorHAnsi" w:hAnsiTheme="majorHAnsi"/>
          <w:sz w:val="22"/>
          <w:szCs w:val="22"/>
          <w:lang w:val="es-US"/>
        </w:rPr>
        <w:t>El ecosistema de corales junto al sistema de manglares e islas constituye la mayor área de reproducción y refugio de especies marinas, que permiten mantener el equilibrio, sirven de fuente de alimento e ingresos económicos para las familias de sus comunidades.</w:t>
      </w:r>
    </w:p>
    <w:p w:rsidR="00DB31EE" w:rsidRPr="00DB31EE" w:rsidRDefault="00DB31EE" w:rsidP="00DB31EE">
      <w:pPr>
        <w:pStyle w:val="yiv3347793902msonormal"/>
        <w:jc w:val="both"/>
        <w:rPr>
          <w:rFonts w:asciiTheme="majorHAnsi" w:hAnsiTheme="majorHAnsi"/>
          <w:sz w:val="22"/>
          <w:szCs w:val="22"/>
          <w:lang w:val="es-US"/>
        </w:rPr>
      </w:pPr>
      <w:r w:rsidRPr="00DB31EE">
        <w:rPr>
          <w:rFonts w:asciiTheme="majorHAnsi" w:hAnsiTheme="majorHAnsi"/>
          <w:b/>
          <w:bCs/>
          <w:sz w:val="22"/>
          <w:szCs w:val="22"/>
          <w:lang w:val="es-US"/>
        </w:rPr>
        <w:t>Datos cronológicos</w:t>
      </w:r>
    </w:p>
    <w:p w:rsidR="00DB31EE" w:rsidRPr="00DB31EE" w:rsidRDefault="00DB31EE" w:rsidP="00DB31EE">
      <w:pPr>
        <w:pStyle w:val="yiv3347793902msonormal"/>
        <w:jc w:val="both"/>
        <w:rPr>
          <w:rFonts w:asciiTheme="majorHAnsi" w:hAnsiTheme="majorHAnsi"/>
          <w:sz w:val="22"/>
          <w:szCs w:val="22"/>
          <w:lang w:val="es-US"/>
        </w:rPr>
      </w:pPr>
      <w:r w:rsidRPr="00DB31EE">
        <w:rPr>
          <w:rFonts w:asciiTheme="majorHAnsi" w:hAnsiTheme="majorHAnsi"/>
          <w:sz w:val="22"/>
          <w:szCs w:val="22"/>
          <w:lang w:val="es-US"/>
        </w:rPr>
        <w:t>*Declaración de Managua: Golfo de Fonseca: Una Zona de Paz, Desarrollo Sostenible v Seguridad (4 de octubre de 2007).</w:t>
      </w:r>
    </w:p>
    <w:p w:rsidR="00DB31EE" w:rsidRPr="00DB31EE" w:rsidRDefault="00DB31EE" w:rsidP="00DB31EE">
      <w:pPr>
        <w:pStyle w:val="yiv3347793902msonormal"/>
        <w:jc w:val="both"/>
        <w:rPr>
          <w:rFonts w:asciiTheme="majorHAnsi" w:hAnsiTheme="majorHAnsi"/>
          <w:sz w:val="22"/>
          <w:szCs w:val="22"/>
          <w:lang w:val="es-US"/>
        </w:rPr>
      </w:pPr>
      <w:r w:rsidRPr="00DB31EE">
        <w:rPr>
          <w:rFonts w:asciiTheme="majorHAnsi" w:hAnsiTheme="majorHAnsi"/>
          <w:spacing w:val="-1"/>
          <w:sz w:val="22"/>
          <w:szCs w:val="22"/>
          <w:lang w:val="es-US"/>
        </w:rPr>
        <w:t>*Acuerdo</w:t>
      </w:r>
      <w:r w:rsidRPr="00DB31EE">
        <w:rPr>
          <w:rFonts w:asciiTheme="majorHAnsi" w:hAnsiTheme="majorHAnsi"/>
          <w:spacing w:val="1"/>
          <w:sz w:val="22"/>
          <w:szCs w:val="22"/>
          <w:lang w:val="es-US"/>
        </w:rPr>
        <w:t> </w:t>
      </w:r>
      <w:r w:rsidRPr="00DB31EE">
        <w:rPr>
          <w:rFonts w:asciiTheme="majorHAnsi" w:hAnsiTheme="majorHAnsi"/>
          <w:spacing w:val="-1"/>
          <w:sz w:val="22"/>
          <w:szCs w:val="22"/>
          <w:lang w:val="es-US"/>
        </w:rPr>
        <w:t>Presidencial </w:t>
      </w:r>
      <w:r w:rsidRPr="00DB31EE">
        <w:rPr>
          <w:rFonts w:asciiTheme="majorHAnsi" w:hAnsiTheme="majorHAnsi"/>
          <w:sz w:val="22"/>
          <w:szCs w:val="22"/>
          <w:lang w:val="es-US"/>
        </w:rPr>
        <w:t>de</w:t>
      </w:r>
      <w:r w:rsidRPr="00DB31EE">
        <w:rPr>
          <w:rFonts w:asciiTheme="majorHAnsi" w:hAnsiTheme="majorHAnsi"/>
          <w:spacing w:val="-2"/>
          <w:sz w:val="22"/>
          <w:szCs w:val="22"/>
          <w:lang w:val="es-US"/>
        </w:rPr>
        <w:t> </w:t>
      </w:r>
      <w:r w:rsidRPr="00DB31EE">
        <w:rPr>
          <w:rFonts w:asciiTheme="majorHAnsi" w:hAnsiTheme="majorHAnsi"/>
          <w:sz w:val="22"/>
          <w:szCs w:val="22"/>
          <w:lang w:val="es-US"/>
        </w:rPr>
        <w:t>la </w:t>
      </w:r>
      <w:r w:rsidRPr="00DB31EE">
        <w:rPr>
          <w:rFonts w:asciiTheme="majorHAnsi" w:hAnsiTheme="majorHAnsi"/>
          <w:spacing w:val="-2"/>
          <w:sz w:val="22"/>
          <w:szCs w:val="22"/>
          <w:lang w:val="es-US"/>
        </w:rPr>
        <w:t>Unión.</w:t>
      </w:r>
      <w:r w:rsidRPr="00DB31EE">
        <w:rPr>
          <w:rFonts w:asciiTheme="majorHAnsi" w:hAnsiTheme="majorHAnsi"/>
          <w:spacing w:val="23"/>
          <w:sz w:val="22"/>
          <w:szCs w:val="22"/>
          <w:lang w:val="es-US"/>
        </w:rPr>
        <w:t> </w:t>
      </w:r>
      <w:r w:rsidRPr="00DB31EE">
        <w:rPr>
          <w:rFonts w:asciiTheme="majorHAnsi" w:hAnsiTheme="majorHAnsi"/>
          <w:spacing w:val="-1"/>
          <w:sz w:val="22"/>
          <w:szCs w:val="22"/>
          <w:lang w:val="es-US"/>
        </w:rPr>
        <w:t>Golfo</w:t>
      </w:r>
      <w:r w:rsidRPr="00DB31EE">
        <w:rPr>
          <w:rFonts w:asciiTheme="majorHAnsi" w:hAnsiTheme="majorHAnsi"/>
          <w:spacing w:val="-2"/>
          <w:sz w:val="22"/>
          <w:szCs w:val="22"/>
          <w:lang w:val="es-US"/>
        </w:rPr>
        <w:t> </w:t>
      </w:r>
      <w:r w:rsidRPr="00DB31EE">
        <w:rPr>
          <w:rFonts w:asciiTheme="majorHAnsi" w:hAnsiTheme="majorHAnsi"/>
          <w:sz w:val="22"/>
          <w:szCs w:val="22"/>
          <w:lang w:val="es-US"/>
        </w:rPr>
        <w:t>de </w:t>
      </w:r>
      <w:r w:rsidRPr="00DB31EE">
        <w:rPr>
          <w:rFonts w:asciiTheme="majorHAnsi" w:hAnsiTheme="majorHAnsi"/>
          <w:spacing w:val="-1"/>
          <w:sz w:val="22"/>
          <w:szCs w:val="22"/>
          <w:lang w:val="es-US"/>
        </w:rPr>
        <w:t>Fonseca, </w:t>
      </w:r>
      <w:r w:rsidRPr="00DB31EE">
        <w:rPr>
          <w:rFonts w:asciiTheme="majorHAnsi" w:hAnsiTheme="majorHAnsi"/>
          <w:sz w:val="22"/>
          <w:szCs w:val="22"/>
          <w:lang w:val="es-US"/>
        </w:rPr>
        <w:t>una</w:t>
      </w:r>
      <w:r w:rsidRPr="00DB31EE">
        <w:rPr>
          <w:rFonts w:asciiTheme="majorHAnsi" w:hAnsiTheme="majorHAnsi"/>
          <w:spacing w:val="-2"/>
          <w:sz w:val="22"/>
          <w:szCs w:val="22"/>
          <w:lang w:val="es-US"/>
        </w:rPr>
        <w:t> </w:t>
      </w:r>
      <w:r w:rsidRPr="00DB31EE">
        <w:rPr>
          <w:rFonts w:asciiTheme="majorHAnsi" w:hAnsiTheme="majorHAnsi"/>
          <w:spacing w:val="-1"/>
          <w:sz w:val="22"/>
          <w:szCs w:val="22"/>
          <w:lang w:val="es-US"/>
        </w:rPr>
        <w:t>zona</w:t>
      </w:r>
      <w:r w:rsidRPr="00DB31EE">
        <w:rPr>
          <w:rFonts w:asciiTheme="majorHAnsi" w:hAnsiTheme="majorHAnsi"/>
          <w:sz w:val="22"/>
          <w:szCs w:val="22"/>
          <w:lang w:val="es-US"/>
        </w:rPr>
        <w:t> de</w:t>
      </w:r>
      <w:r w:rsidRPr="00DB31EE">
        <w:rPr>
          <w:rFonts w:asciiTheme="majorHAnsi" w:hAnsiTheme="majorHAnsi"/>
          <w:spacing w:val="-5"/>
          <w:sz w:val="22"/>
          <w:szCs w:val="22"/>
          <w:lang w:val="es-US"/>
        </w:rPr>
        <w:t> </w:t>
      </w:r>
      <w:r w:rsidRPr="00DB31EE">
        <w:rPr>
          <w:rFonts w:asciiTheme="majorHAnsi" w:hAnsiTheme="majorHAnsi"/>
          <w:sz w:val="22"/>
          <w:szCs w:val="22"/>
          <w:lang w:val="es-US"/>
        </w:rPr>
        <w:t>paz,</w:t>
      </w:r>
      <w:r w:rsidRPr="00DB31EE">
        <w:rPr>
          <w:rFonts w:asciiTheme="majorHAnsi" w:hAnsiTheme="majorHAnsi"/>
          <w:spacing w:val="29"/>
          <w:sz w:val="22"/>
          <w:szCs w:val="22"/>
          <w:lang w:val="es-US"/>
        </w:rPr>
        <w:t> </w:t>
      </w:r>
      <w:r w:rsidRPr="00DB31EE">
        <w:rPr>
          <w:rFonts w:asciiTheme="majorHAnsi" w:hAnsiTheme="majorHAnsi"/>
          <w:spacing w:val="-1"/>
          <w:sz w:val="22"/>
          <w:szCs w:val="22"/>
          <w:lang w:val="es-US"/>
        </w:rPr>
        <w:t>Desarrollo</w:t>
      </w:r>
      <w:r w:rsidRPr="00DB31EE">
        <w:rPr>
          <w:rFonts w:asciiTheme="majorHAnsi" w:hAnsiTheme="majorHAnsi"/>
          <w:spacing w:val="-3"/>
          <w:sz w:val="22"/>
          <w:szCs w:val="22"/>
          <w:lang w:val="es-US"/>
        </w:rPr>
        <w:t> </w:t>
      </w:r>
      <w:r w:rsidRPr="00DB31EE">
        <w:rPr>
          <w:rFonts w:asciiTheme="majorHAnsi" w:hAnsiTheme="majorHAnsi"/>
          <w:spacing w:val="-1"/>
          <w:sz w:val="22"/>
          <w:szCs w:val="22"/>
          <w:lang w:val="es-US"/>
        </w:rPr>
        <w:t>Sostenible</w:t>
      </w:r>
      <w:r w:rsidRPr="00DB31EE">
        <w:rPr>
          <w:rFonts w:asciiTheme="majorHAnsi" w:hAnsiTheme="majorHAnsi"/>
          <w:spacing w:val="2"/>
          <w:sz w:val="22"/>
          <w:szCs w:val="22"/>
          <w:lang w:val="es-US"/>
        </w:rPr>
        <w:t> </w:t>
      </w:r>
      <w:r w:rsidRPr="00DB31EE">
        <w:rPr>
          <w:rFonts w:asciiTheme="majorHAnsi" w:hAnsiTheme="majorHAnsi"/>
          <w:sz w:val="22"/>
          <w:szCs w:val="22"/>
          <w:lang w:val="es-US"/>
        </w:rPr>
        <w:t>y</w:t>
      </w:r>
      <w:r w:rsidRPr="00DB31EE">
        <w:rPr>
          <w:rFonts w:asciiTheme="majorHAnsi" w:hAnsiTheme="majorHAnsi"/>
          <w:spacing w:val="-7"/>
          <w:sz w:val="22"/>
          <w:szCs w:val="22"/>
          <w:lang w:val="es-US"/>
        </w:rPr>
        <w:t> </w:t>
      </w:r>
      <w:r w:rsidRPr="00DB31EE">
        <w:rPr>
          <w:rFonts w:asciiTheme="majorHAnsi" w:hAnsiTheme="majorHAnsi"/>
          <w:spacing w:val="-1"/>
          <w:sz w:val="22"/>
          <w:szCs w:val="22"/>
          <w:lang w:val="es-US"/>
        </w:rPr>
        <w:t>Seguridad. (2 de abril de 2008).</w:t>
      </w:r>
    </w:p>
    <w:p w:rsidR="00DB31EE" w:rsidRPr="00DB31EE" w:rsidRDefault="00DB31EE" w:rsidP="00DB31EE">
      <w:pPr>
        <w:pStyle w:val="yiv3347793902msonormal"/>
        <w:jc w:val="both"/>
        <w:rPr>
          <w:rFonts w:asciiTheme="majorHAnsi" w:hAnsiTheme="majorHAnsi"/>
          <w:sz w:val="22"/>
          <w:szCs w:val="22"/>
          <w:lang w:val="es-US"/>
        </w:rPr>
      </w:pPr>
      <w:r w:rsidRPr="00DB31EE">
        <w:rPr>
          <w:rFonts w:asciiTheme="majorHAnsi" w:hAnsiTheme="majorHAnsi"/>
          <w:spacing w:val="-1"/>
          <w:sz w:val="22"/>
          <w:szCs w:val="22"/>
          <w:lang w:val="es-US"/>
        </w:rPr>
        <w:t>*Reunión Trilateral para el Relanzamiento de la Declaración de Managua: Golfo de Fonseca una Zona de Paz, Desarrollo Sostenible y Seguridad (30 de marzo de 2012).</w:t>
      </w:r>
    </w:p>
    <w:p w:rsidR="00DB31EE" w:rsidRPr="00DB31EE" w:rsidRDefault="00DB31EE" w:rsidP="00DB31EE">
      <w:pPr>
        <w:pStyle w:val="yiv3347793902msonormal"/>
        <w:jc w:val="both"/>
        <w:rPr>
          <w:rFonts w:asciiTheme="majorHAnsi" w:hAnsiTheme="majorHAnsi"/>
          <w:sz w:val="22"/>
          <w:szCs w:val="22"/>
          <w:lang w:val="es-US"/>
        </w:rPr>
      </w:pPr>
      <w:r w:rsidRPr="00DB31EE">
        <w:rPr>
          <w:rFonts w:asciiTheme="majorHAnsi" w:hAnsiTheme="majorHAnsi"/>
          <w:spacing w:val="-1"/>
          <w:sz w:val="22"/>
          <w:szCs w:val="22"/>
          <w:lang w:val="es-US"/>
        </w:rPr>
        <w:t>*Declaración</w:t>
      </w:r>
      <w:r w:rsidRPr="00DB31EE">
        <w:rPr>
          <w:rFonts w:asciiTheme="majorHAnsi" w:hAnsiTheme="majorHAnsi"/>
          <w:spacing w:val="1"/>
          <w:sz w:val="22"/>
          <w:szCs w:val="22"/>
          <w:lang w:val="es-US"/>
        </w:rPr>
        <w:t> </w:t>
      </w:r>
      <w:r w:rsidRPr="00DB31EE">
        <w:rPr>
          <w:rFonts w:asciiTheme="majorHAnsi" w:hAnsiTheme="majorHAnsi"/>
          <w:spacing w:val="-1"/>
          <w:sz w:val="22"/>
          <w:szCs w:val="22"/>
          <w:lang w:val="es-US"/>
        </w:rPr>
        <w:t>conjunta </w:t>
      </w:r>
      <w:r w:rsidRPr="00DB31EE">
        <w:rPr>
          <w:rFonts w:asciiTheme="majorHAnsi" w:hAnsiTheme="majorHAnsi"/>
          <w:spacing w:val="-2"/>
          <w:sz w:val="22"/>
          <w:szCs w:val="22"/>
          <w:lang w:val="es-US"/>
        </w:rPr>
        <w:t>2012:</w:t>
      </w:r>
      <w:r w:rsidRPr="00DB31EE">
        <w:rPr>
          <w:rFonts w:asciiTheme="majorHAnsi" w:hAnsiTheme="majorHAnsi"/>
          <w:spacing w:val="2"/>
          <w:sz w:val="22"/>
          <w:szCs w:val="22"/>
          <w:lang w:val="es-US"/>
        </w:rPr>
        <w:t> </w:t>
      </w:r>
      <w:r w:rsidRPr="00DB31EE">
        <w:rPr>
          <w:rFonts w:asciiTheme="majorHAnsi" w:hAnsiTheme="majorHAnsi"/>
          <w:spacing w:val="-1"/>
          <w:sz w:val="22"/>
          <w:szCs w:val="22"/>
          <w:lang w:val="es-US"/>
        </w:rPr>
        <w:t>Reunión</w:t>
      </w:r>
      <w:r w:rsidRPr="00DB31EE">
        <w:rPr>
          <w:rFonts w:asciiTheme="majorHAnsi" w:hAnsiTheme="majorHAnsi"/>
          <w:spacing w:val="25"/>
          <w:sz w:val="22"/>
          <w:szCs w:val="22"/>
          <w:lang w:val="es-US"/>
        </w:rPr>
        <w:t> </w:t>
      </w:r>
      <w:r w:rsidRPr="00DB31EE">
        <w:rPr>
          <w:rFonts w:asciiTheme="majorHAnsi" w:hAnsiTheme="majorHAnsi"/>
          <w:spacing w:val="-1"/>
          <w:sz w:val="22"/>
          <w:szCs w:val="22"/>
          <w:lang w:val="es-US"/>
        </w:rPr>
        <w:t>Trinacional sobre</w:t>
      </w:r>
      <w:r w:rsidRPr="00DB31EE">
        <w:rPr>
          <w:rFonts w:asciiTheme="majorHAnsi" w:hAnsiTheme="majorHAnsi"/>
          <w:spacing w:val="-2"/>
          <w:sz w:val="22"/>
          <w:szCs w:val="22"/>
          <w:lang w:val="es-US"/>
        </w:rPr>
        <w:t> </w:t>
      </w:r>
      <w:r w:rsidRPr="00DB31EE">
        <w:rPr>
          <w:rFonts w:asciiTheme="majorHAnsi" w:hAnsiTheme="majorHAnsi"/>
          <w:spacing w:val="-1"/>
          <w:sz w:val="22"/>
          <w:szCs w:val="22"/>
          <w:lang w:val="es-US"/>
        </w:rPr>
        <w:t>el Golfo</w:t>
      </w:r>
      <w:r w:rsidRPr="00DB31EE">
        <w:rPr>
          <w:rFonts w:asciiTheme="majorHAnsi" w:hAnsiTheme="majorHAnsi"/>
          <w:spacing w:val="1"/>
          <w:sz w:val="22"/>
          <w:szCs w:val="22"/>
          <w:lang w:val="es-US"/>
        </w:rPr>
        <w:t> </w:t>
      </w:r>
      <w:r w:rsidRPr="00DB31EE">
        <w:rPr>
          <w:rFonts w:asciiTheme="majorHAnsi" w:hAnsiTheme="majorHAnsi"/>
          <w:sz w:val="22"/>
          <w:szCs w:val="22"/>
          <w:lang w:val="es-US"/>
        </w:rPr>
        <w:t>de</w:t>
      </w:r>
      <w:r w:rsidRPr="00DB31EE">
        <w:rPr>
          <w:rFonts w:asciiTheme="majorHAnsi" w:hAnsiTheme="majorHAnsi"/>
          <w:spacing w:val="25"/>
          <w:sz w:val="22"/>
          <w:szCs w:val="22"/>
          <w:lang w:val="es-US"/>
        </w:rPr>
        <w:t> </w:t>
      </w:r>
      <w:r w:rsidRPr="00DB31EE">
        <w:rPr>
          <w:rFonts w:asciiTheme="majorHAnsi" w:hAnsiTheme="majorHAnsi"/>
          <w:spacing w:val="-1"/>
          <w:sz w:val="22"/>
          <w:szCs w:val="22"/>
          <w:lang w:val="es-US"/>
        </w:rPr>
        <w:t>Fonseca. (4 de diciembre de 2012).</w:t>
      </w:r>
    </w:p>
    <w:p w:rsidR="00DB31EE" w:rsidRPr="00DB31EE" w:rsidRDefault="00DB31EE" w:rsidP="00DB31EE">
      <w:pPr>
        <w:pStyle w:val="yiv3347793902msonormal"/>
        <w:jc w:val="both"/>
        <w:rPr>
          <w:rFonts w:asciiTheme="majorHAnsi" w:hAnsiTheme="majorHAnsi"/>
          <w:sz w:val="22"/>
          <w:szCs w:val="22"/>
          <w:lang w:val="es-US"/>
        </w:rPr>
      </w:pPr>
      <w:r w:rsidRPr="00DB31EE">
        <w:rPr>
          <w:rFonts w:asciiTheme="majorHAnsi" w:hAnsiTheme="majorHAnsi"/>
          <w:spacing w:val="-1"/>
          <w:sz w:val="22"/>
          <w:szCs w:val="22"/>
          <w:lang w:val="es-US"/>
        </w:rPr>
        <w:t>*Declaración</w:t>
      </w:r>
      <w:r w:rsidRPr="00DB31EE">
        <w:rPr>
          <w:rFonts w:asciiTheme="majorHAnsi" w:hAnsiTheme="majorHAnsi"/>
          <w:sz w:val="22"/>
          <w:szCs w:val="22"/>
          <w:lang w:val="es-US"/>
        </w:rPr>
        <w:t> </w:t>
      </w:r>
      <w:r w:rsidRPr="00DB31EE">
        <w:rPr>
          <w:rFonts w:asciiTheme="majorHAnsi" w:hAnsiTheme="majorHAnsi"/>
          <w:spacing w:val="1"/>
          <w:sz w:val="22"/>
          <w:szCs w:val="22"/>
          <w:lang w:val="es-US"/>
        </w:rPr>
        <w:t> </w:t>
      </w:r>
      <w:r w:rsidRPr="00DB31EE">
        <w:rPr>
          <w:rFonts w:asciiTheme="majorHAnsi" w:hAnsiTheme="majorHAnsi"/>
          <w:spacing w:val="-1"/>
          <w:sz w:val="22"/>
          <w:szCs w:val="22"/>
          <w:lang w:val="es-US"/>
        </w:rPr>
        <w:t>conjunta</w:t>
      </w:r>
      <w:r w:rsidRPr="00DB31EE">
        <w:rPr>
          <w:rFonts w:asciiTheme="majorHAnsi" w:hAnsiTheme="majorHAnsi"/>
          <w:sz w:val="22"/>
          <w:szCs w:val="22"/>
          <w:lang w:val="es-US"/>
        </w:rPr>
        <w:t> </w:t>
      </w:r>
      <w:r w:rsidRPr="00DB31EE">
        <w:rPr>
          <w:rFonts w:asciiTheme="majorHAnsi" w:hAnsiTheme="majorHAnsi"/>
          <w:spacing w:val="3"/>
          <w:sz w:val="22"/>
          <w:szCs w:val="22"/>
          <w:lang w:val="es-US"/>
        </w:rPr>
        <w:t> </w:t>
      </w:r>
      <w:r w:rsidRPr="00DB31EE">
        <w:rPr>
          <w:rFonts w:asciiTheme="majorHAnsi" w:hAnsiTheme="majorHAnsi"/>
          <w:spacing w:val="-1"/>
          <w:sz w:val="22"/>
          <w:szCs w:val="22"/>
          <w:lang w:val="es-US"/>
        </w:rPr>
        <w:t>2013:</w:t>
      </w:r>
      <w:r w:rsidRPr="00DB31EE">
        <w:rPr>
          <w:rFonts w:asciiTheme="majorHAnsi" w:hAnsiTheme="majorHAnsi"/>
          <w:spacing w:val="50"/>
          <w:sz w:val="22"/>
          <w:szCs w:val="22"/>
          <w:lang w:val="es-US"/>
        </w:rPr>
        <w:t> </w:t>
      </w:r>
      <w:r w:rsidRPr="00DB31EE">
        <w:rPr>
          <w:rFonts w:asciiTheme="majorHAnsi" w:hAnsiTheme="majorHAnsi"/>
          <w:spacing w:val="-1"/>
          <w:sz w:val="22"/>
          <w:szCs w:val="22"/>
          <w:lang w:val="es-US"/>
        </w:rPr>
        <w:t>Reunión</w:t>
      </w:r>
      <w:r w:rsidRPr="00DB31EE">
        <w:rPr>
          <w:rFonts w:asciiTheme="majorHAnsi" w:hAnsiTheme="majorHAnsi"/>
          <w:sz w:val="22"/>
          <w:szCs w:val="22"/>
          <w:lang w:val="es-US"/>
        </w:rPr>
        <w:t> </w:t>
      </w:r>
      <w:r w:rsidRPr="00DB31EE">
        <w:rPr>
          <w:rFonts w:asciiTheme="majorHAnsi" w:hAnsiTheme="majorHAnsi"/>
          <w:spacing w:val="-1"/>
          <w:sz w:val="22"/>
          <w:szCs w:val="22"/>
          <w:lang w:val="es-US"/>
        </w:rPr>
        <w:t>Trinacional</w:t>
      </w:r>
      <w:r w:rsidRPr="00DB31EE">
        <w:rPr>
          <w:rFonts w:asciiTheme="majorHAnsi" w:hAnsiTheme="majorHAnsi"/>
          <w:spacing w:val="-2"/>
          <w:sz w:val="22"/>
          <w:szCs w:val="22"/>
          <w:lang w:val="es-US"/>
        </w:rPr>
        <w:t> </w:t>
      </w:r>
      <w:r w:rsidRPr="00DB31EE">
        <w:rPr>
          <w:rFonts w:asciiTheme="majorHAnsi" w:hAnsiTheme="majorHAnsi"/>
          <w:spacing w:val="-1"/>
          <w:sz w:val="22"/>
          <w:szCs w:val="22"/>
          <w:lang w:val="es-US"/>
        </w:rPr>
        <w:t>sobre</w:t>
      </w:r>
      <w:r w:rsidRPr="00DB31EE">
        <w:rPr>
          <w:rFonts w:asciiTheme="majorHAnsi" w:hAnsiTheme="majorHAnsi"/>
          <w:sz w:val="22"/>
          <w:szCs w:val="22"/>
          <w:lang w:val="es-US"/>
        </w:rPr>
        <w:t> el</w:t>
      </w:r>
      <w:r w:rsidRPr="00DB31EE">
        <w:rPr>
          <w:rFonts w:asciiTheme="majorHAnsi" w:hAnsiTheme="majorHAnsi"/>
          <w:spacing w:val="-2"/>
          <w:sz w:val="22"/>
          <w:szCs w:val="22"/>
          <w:lang w:val="es-US"/>
        </w:rPr>
        <w:t> </w:t>
      </w:r>
      <w:r w:rsidRPr="00DB31EE">
        <w:rPr>
          <w:rFonts w:asciiTheme="majorHAnsi" w:hAnsiTheme="majorHAnsi"/>
          <w:sz w:val="22"/>
          <w:szCs w:val="22"/>
          <w:lang w:val="es-US"/>
        </w:rPr>
        <w:t>Golfo</w:t>
      </w:r>
      <w:r w:rsidRPr="00DB31EE">
        <w:rPr>
          <w:rFonts w:asciiTheme="majorHAnsi" w:hAnsiTheme="majorHAnsi"/>
          <w:spacing w:val="-2"/>
          <w:sz w:val="22"/>
          <w:szCs w:val="22"/>
          <w:lang w:val="es-US"/>
        </w:rPr>
        <w:t> </w:t>
      </w:r>
      <w:r w:rsidRPr="00DB31EE">
        <w:rPr>
          <w:rFonts w:asciiTheme="majorHAnsi" w:hAnsiTheme="majorHAnsi"/>
          <w:sz w:val="22"/>
          <w:szCs w:val="22"/>
          <w:lang w:val="es-US"/>
        </w:rPr>
        <w:t>de</w:t>
      </w:r>
      <w:r w:rsidRPr="00DB31EE">
        <w:rPr>
          <w:rFonts w:asciiTheme="majorHAnsi" w:hAnsiTheme="majorHAnsi"/>
          <w:spacing w:val="-2"/>
          <w:sz w:val="22"/>
          <w:szCs w:val="22"/>
          <w:lang w:val="es-US"/>
        </w:rPr>
        <w:t> </w:t>
      </w:r>
      <w:r w:rsidRPr="00DB31EE">
        <w:rPr>
          <w:rFonts w:asciiTheme="majorHAnsi" w:hAnsiTheme="majorHAnsi"/>
          <w:spacing w:val="-1"/>
          <w:sz w:val="22"/>
          <w:szCs w:val="22"/>
          <w:lang w:val="es-US"/>
        </w:rPr>
        <w:t>Fonseca (8 de mayo DE 2013)</w:t>
      </w:r>
    </w:p>
    <w:p w:rsidR="00DB31EE" w:rsidRPr="00DB31EE" w:rsidRDefault="00DB31EE" w:rsidP="00DB31EE">
      <w:pPr>
        <w:pStyle w:val="yiv3347793902msonormal"/>
        <w:jc w:val="both"/>
        <w:rPr>
          <w:rFonts w:asciiTheme="majorHAnsi" w:hAnsiTheme="majorHAnsi"/>
          <w:sz w:val="22"/>
          <w:szCs w:val="22"/>
          <w:lang w:val="es-US"/>
        </w:rPr>
      </w:pPr>
      <w:r w:rsidRPr="00DB31EE">
        <w:rPr>
          <w:rFonts w:asciiTheme="majorHAnsi" w:hAnsiTheme="majorHAnsi"/>
          <w:sz w:val="22"/>
          <w:szCs w:val="22"/>
          <w:lang w:val="es-US"/>
        </w:rPr>
        <w:t> *</w:t>
      </w:r>
      <w:r w:rsidRPr="00DB31EE">
        <w:rPr>
          <w:rFonts w:asciiTheme="majorHAnsi" w:hAnsiTheme="majorHAnsi"/>
          <w:sz w:val="22"/>
          <w:szCs w:val="22"/>
          <w:lang w:val="es-MX"/>
        </w:rPr>
        <w:t>XII Reunión realizada en Tegucigalpa, Honduras  </w:t>
      </w:r>
      <w:r w:rsidRPr="00DB31EE">
        <w:rPr>
          <w:rFonts w:asciiTheme="majorHAnsi" w:hAnsiTheme="majorHAnsi"/>
          <w:sz w:val="22"/>
          <w:szCs w:val="22"/>
          <w:lang w:val="es-US"/>
        </w:rPr>
        <w:t>(24 de febrero de 2017)</w:t>
      </w:r>
    </w:p>
    <w:p w:rsidR="00DB31EE" w:rsidRPr="00DB31EE" w:rsidRDefault="00DB31EE" w:rsidP="00DB31EE">
      <w:pPr>
        <w:pStyle w:val="yiv3347793902msonormal"/>
        <w:jc w:val="both"/>
        <w:rPr>
          <w:rFonts w:asciiTheme="majorHAnsi" w:hAnsiTheme="majorHAnsi"/>
          <w:sz w:val="22"/>
          <w:szCs w:val="22"/>
          <w:lang w:val="es-US"/>
        </w:rPr>
      </w:pPr>
      <w:r w:rsidRPr="00DB31EE">
        <w:rPr>
          <w:rFonts w:asciiTheme="majorHAnsi" w:hAnsiTheme="majorHAnsi"/>
          <w:sz w:val="22"/>
          <w:szCs w:val="22"/>
          <w:lang w:val="es-US"/>
        </w:rPr>
        <w:t>*</w:t>
      </w:r>
      <w:r w:rsidRPr="00DB31EE">
        <w:rPr>
          <w:rFonts w:asciiTheme="majorHAnsi" w:hAnsiTheme="majorHAnsi"/>
          <w:sz w:val="22"/>
          <w:szCs w:val="22"/>
          <w:lang w:val="es-MX"/>
        </w:rPr>
        <w:t>Encuentro Delegados Presidenciales </w:t>
      </w:r>
      <w:r w:rsidRPr="00DB31EE">
        <w:rPr>
          <w:rFonts w:asciiTheme="majorHAnsi" w:hAnsiTheme="majorHAnsi"/>
          <w:sz w:val="22"/>
          <w:szCs w:val="22"/>
          <w:lang w:val="es-US"/>
        </w:rPr>
        <w:t>(</w:t>
      </w:r>
      <w:r w:rsidRPr="00DB31EE">
        <w:rPr>
          <w:rFonts w:asciiTheme="majorHAnsi" w:hAnsiTheme="majorHAnsi"/>
          <w:sz w:val="22"/>
          <w:szCs w:val="22"/>
          <w:lang w:val="es-MX"/>
        </w:rPr>
        <w:t>10 de agosto de 2017).</w:t>
      </w:r>
    </w:p>
    <w:p w:rsidR="00DB31EE" w:rsidRPr="00DB31EE" w:rsidRDefault="00DB31EE" w:rsidP="00DB31EE">
      <w:pPr>
        <w:pStyle w:val="yiv3347793902msonormal"/>
        <w:jc w:val="both"/>
        <w:rPr>
          <w:rFonts w:asciiTheme="majorHAnsi" w:hAnsiTheme="majorHAnsi"/>
          <w:sz w:val="22"/>
          <w:szCs w:val="22"/>
          <w:lang w:val="es-US"/>
        </w:rPr>
      </w:pPr>
      <w:r w:rsidRPr="00DB31EE">
        <w:rPr>
          <w:rFonts w:asciiTheme="majorHAnsi" w:hAnsiTheme="majorHAnsi"/>
          <w:spacing w:val="-1"/>
          <w:sz w:val="22"/>
          <w:szCs w:val="22"/>
          <w:lang w:val="es-US"/>
        </w:rPr>
        <w:t>*Reunión</w:t>
      </w:r>
      <w:r w:rsidRPr="00DB31EE">
        <w:rPr>
          <w:rFonts w:asciiTheme="majorHAnsi" w:hAnsiTheme="majorHAnsi"/>
          <w:sz w:val="22"/>
          <w:szCs w:val="22"/>
          <w:lang w:val="es-US"/>
        </w:rPr>
        <w:t> </w:t>
      </w:r>
      <w:r w:rsidRPr="00DB31EE">
        <w:rPr>
          <w:rFonts w:asciiTheme="majorHAnsi" w:hAnsiTheme="majorHAnsi"/>
          <w:spacing w:val="-1"/>
          <w:sz w:val="22"/>
          <w:szCs w:val="22"/>
          <w:lang w:val="es-US"/>
        </w:rPr>
        <w:t>técnica</w:t>
      </w:r>
      <w:r w:rsidRPr="00DB31EE">
        <w:rPr>
          <w:rFonts w:asciiTheme="majorHAnsi" w:hAnsiTheme="majorHAnsi"/>
          <w:spacing w:val="-2"/>
          <w:sz w:val="22"/>
          <w:szCs w:val="22"/>
          <w:lang w:val="es-US"/>
        </w:rPr>
        <w:t> </w:t>
      </w:r>
      <w:r w:rsidRPr="00DB31EE">
        <w:rPr>
          <w:rFonts w:asciiTheme="majorHAnsi" w:hAnsiTheme="majorHAnsi"/>
          <w:spacing w:val="-1"/>
          <w:sz w:val="22"/>
          <w:szCs w:val="22"/>
          <w:lang w:val="es-US"/>
        </w:rPr>
        <w:t>preparatoria  (14 de agosto de 2014).</w:t>
      </w:r>
    </w:p>
    <w:p w:rsidR="00DB31EE" w:rsidRPr="00DB31EE" w:rsidRDefault="00DB31EE" w:rsidP="00DB31EE">
      <w:pPr>
        <w:pStyle w:val="yiv3347793902msonormal"/>
        <w:jc w:val="both"/>
        <w:rPr>
          <w:rFonts w:asciiTheme="majorHAnsi" w:hAnsiTheme="majorHAnsi"/>
          <w:sz w:val="22"/>
          <w:szCs w:val="22"/>
          <w:lang w:val="es-US"/>
        </w:rPr>
      </w:pPr>
      <w:r w:rsidRPr="00DB31EE">
        <w:rPr>
          <w:rFonts w:asciiTheme="majorHAnsi" w:hAnsiTheme="majorHAnsi"/>
          <w:spacing w:val="-1"/>
          <w:sz w:val="22"/>
          <w:szCs w:val="22"/>
          <w:lang w:val="es-US"/>
        </w:rPr>
        <w:t>*</w:t>
      </w:r>
      <w:r w:rsidRPr="00DB31EE">
        <w:rPr>
          <w:rFonts w:asciiTheme="majorHAnsi" w:hAnsiTheme="majorHAnsi"/>
          <w:sz w:val="22"/>
          <w:szCs w:val="22"/>
          <w:lang w:val="es-US"/>
        </w:rPr>
        <w:t>Declaración Conjunta: Reunión</w:t>
      </w:r>
      <w:r w:rsidRPr="00DB31EE">
        <w:rPr>
          <w:rFonts w:asciiTheme="majorHAnsi" w:hAnsiTheme="majorHAnsi"/>
          <w:spacing w:val="-1"/>
          <w:sz w:val="22"/>
          <w:szCs w:val="22"/>
          <w:lang w:val="es-US"/>
        </w:rPr>
        <w:t> </w:t>
      </w:r>
      <w:r w:rsidRPr="00DB31EE">
        <w:rPr>
          <w:rFonts w:asciiTheme="majorHAnsi" w:hAnsiTheme="majorHAnsi"/>
          <w:sz w:val="22"/>
          <w:szCs w:val="22"/>
          <w:lang w:val="es-US"/>
        </w:rPr>
        <w:t>Trinacional  sobre el Golfo de Fonseca (25 de agosto de 2014).</w:t>
      </w:r>
    </w:p>
    <w:p w:rsidR="00DB31EE" w:rsidRPr="00DB31EE" w:rsidRDefault="00DB31EE" w:rsidP="00DB31EE">
      <w:pPr>
        <w:pStyle w:val="yiv3347793902msonormal"/>
        <w:jc w:val="both"/>
        <w:rPr>
          <w:rFonts w:asciiTheme="majorHAnsi" w:hAnsiTheme="majorHAnsi"/>
          <w:sz w:val="22"/>
          <w:szCs w:val="22"/>
          <w:lang w:val="es-US"/>
        </w:rPr>
      </w:pPr>
      <w:r w:rsidRPr="00DB31EE">
        <w:rPr>
          <w:rFonts w:asciiTheme="majorHAnsi" w:hAnsiTheme="majorHAnsi"/>
          <w:b/>
          <w:bCs/>
          <w:sz w:val="22"/>
          <w:szCs w:val="22"/>
          <w:lang w:val="es-US"/>
        </w:rPr>
        <w:t> </w:t>
      </w:r>
    </w:p>
    <w:p w:rsidR="00D96183" w:rsidRPr="00DB31EE" w:rsidRDefault="00D96183" w:rsidP="00DB31EE">
      <w:pPr>
        <w:pStyle w:val="yiv3347793902msonormal"/>
        <w:jc w:val="both"/>
        <w:rPr>
          <w:rFonts w:asciiTheme="majorHAnsi" w:hAnsiTheme="majorHAnsi"/>
          <w:sz w:val="22"/>
          <w:szCs w:val="22"/>
          <w:lang w:val="es-US"/>
        </w:rPr>
      </w:pPr>
    </w:p>
    <w:sectPr w:rsidR="00D96183" w:rsidRPr="00DB31EE"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4">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BBD720B"/>
    <w:multiLevelType w:val="hybridMultilevel"/>
    <w:tmpl w:val="C0E493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6"/>
  </w:num>
  <w:num w:numId="6">
    <w:abstractNumId w:val="1"/>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453B1B"/>
    <w:rsid w:val="004E2C2C"/>
    <w:rsid w:val="00502586"/>
    <w:rsid w:val="005C32F6"/>
    <w:rsid w:val="00676FBB"/>
    <w:rsid w:val="00682338"/>
    <w:rsid w:val="006829F9"/>
    <w:rsid w:val="007B658D"/>
    <w:rsid w:val="007F1D72"/>
    <w:rsid w:val="00850518"/>
    <w:rsid w:val="008D0376"/>
    <w:rsid w:val="008E1503"/>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B31EE"/>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47BE40-D212-4FB8-BD44-1B1D226C0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3347793902msonormal">
    <w:name w:val="yiv3347793902msonormal"/>
    <w:basedOn w:val="Normal"/>
    <w:rsid w:val="00DB31EE"/>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0010644">
      <w:bodyDiv w:val="1"/>
      <w:marLeft w:val="0"/>
      <w:marRight w:val="0"/>
      <w:marTop w:val="0"/>
      <w:marBottom w:val="0"/>
      <w:divBdr>
        <w:top w:val="none" w:sz="0" w:space="0" w:color="auto"/>
        <w:left w:val="none" w:sz="0" w:space="0" w:color="auto"/>
        <w:bottom w:val="none" w:sz="0" w:space="0" w:color="auto"/>
        <w:right w:val="none" w:sz="0" w:space="0" w:color="auto"/>
      </w:divBdr>
      <w:divsChild>
        <w:div w:id="873613219">
          <w:marLeft w:val="0"/>
          <w:marRight w:val="0"/>
          <w:marTop w:val="0"/>
          <w:marBottom w:val="0"/>
          <w:divBdr>
            <w:top w:val="none" w:sz="0" w:space="0" w:color="auto"/>
            <w:left w:val="none" w:sz="0" w:space="0" w:color="auto"/>
            <w:bottom w:val="none" w:sz="0" w:space="0" w:color="auto"/>
            <w:right w:val="none" w:sz="0" w:space="0" w:color="auto"/>
          </w:divBdr>
          <w:divsChild>
            <w:div w:id="361055712">
              <w:marLeft w:val="0"/>
              <w:marRight w:val="0"/>
              <w:marTop w:val="0"/>
              <w:marBottom w:val="0"/>
              <w:divBdr>
                <w:top w:val="none" w:sz="0" w:space="0" w:color="auto"/>
                <w:left w:val="none" w:sz="0" w:space="0" w:color="auto"/>
                <w:bottom w:val="none" w:sz="0" w:space="0" w:color="auto"/>
                <w:right w:val="none" w:sz="0" w:space="0" w:color="auto"/>
              </w:divBdr>
              <w:divsChild>
                <w:div w:id="183130632">
                  <w:marLeft w:val="0"/>
                  <w:marRight w:val="0"/>
                  <w:marTop w:val="0"/>
                  <w:marBottom w:val="0"/>
                  <w:divBdr>
                    <w:top w:val="none" w:sz="0" w:space="0" w:color="auto"/>
                    <w:left w:val="none" w:sz="0" w:space="0" w:color="auto"/>
                    <w:bottom w:val="none" w:sz="0" w:space="0" w:color="auto"/>
                    <w:right w:val="none" w:sz="0" w:space="0" w:color="auto"/>
                  </w:divBdr>
                  <w:divsChild>
                    <w:div w:id="1208687094">
                      <w:marLeft w:val="0"/>
                      <w:marRight w:val="0"/>
                      <w:marTop w:val="0"/>
                      <w:marBottom w:val="0"/>
                      <w:divBdr>
                        <w:top w:val="none" w:sz="0" w:space="0" w:color="auto"/>
                        <w:left w:val="none" w:sz="0" w:space="0" w:color="auto"/>
                        <w:bottom w:val="none" w:sz="0" w:space="0" w:color="auto"/>
                        <w:right w:val="none" w:sz="0" w:space="0" w:color="auto"/>
                      </w:divBdr>
                      <w:divsChild>
                        <w:div w:id="725377826">
                          <w:marLeft w:val="0"/>
                          <w:marRight w:val="0"/>
                          <w:marTop w:val="0"/>
                          <w:marBottom w:val="0"/>
                          <w:divBdr>
                            <w:top w:val="none" w:sz="0" w:space="0" w:color="auto"/>
                            <w:left w:val="none" w:sz="0" w:space="0" w:color="auto"/>
                            <w:bottom w:val="none" w:sz="0" w:space="0" w:color="auto"/>
                            <w:right w:val="none" w:sz="0" w:space="0" w:color="auto"/>
                          </w:divBdr>
                          <w:divsChild>
                            <w:div w:id="1527401622">
                              <w:marLeft w:val="0"/>
                              <w:marRight w:val="0"/>
                              <w:marTop w:val="0"/>
                              <w:marBottom w:val="0"/>
                              <w:divBdr>
                                <w:top w:val="none" w:sz="0" w:space="0" w:color="auto"/>
                                <w:left w:val="none" w:sz="0" w:space="0" w:color="auto"/>
                                <w:bottom w:val="none" w:sz="0" w:space="0" w:color="auto"/>
                                <w:right w:val="none" w:sz="0" w:space="0" w:color="auto"/>
                              </w:divBdr>
                              <w:divsChild>
                                <w:div w:id="1419714448">
                                  <w:marLeft w:val="0"/>
                                  <w:marRight w:val="0"/>
                                  <w:marTop w:val="0"/>
                                  <w:marBottom w:val="0"/>
                                  <w:divBdr>
                                    <w:top w:val="none" w:sz="0" w:space="0" w:color="auto"/>
                                    <w:left w:val="none" w:sz="0" w:space="0" w:color="auto"/>
                                    <w:bottom w:val="none" w:sz="0" w:space="0" w:color="auto"/>
                                    <w:right w:val="none" w:sz="0" w:space="0" w:color="auto"/>
                                  </w:divBdr>
                                  <w:divsChild>
                                    <w:div w:id="1674338550">
                                      <w:marLeft w:val="0"/>
                                      <w:marRight w:val="0"/>
                                      <w:marTop w:val="0"/>
                                      <w:marBottom w:val="0"/>
                                      <w:divBdr>
                                        <w:top w:val="none" w:sz="0" w:space="0" w:color="auto"/>
                                        <w:left w:val="none" w:sz="0" w:space="0" w:color="auto"/>
                                        <w:bottom w:val="none" w:sz="0" w:space="0" w:color="auto"/>
                                        <w:right w:val="none" w:sz="0" w:space="0" w:color="auto"/>
                                      </w:divBdr>
                                      <w:divsChild>
                                        <w:div w:id="1044871055">
                                          <w:marLeft w:val="0"/>
                                          <w:marRight w:val="0"/>
                                          <w:marTop w:val="0"/>
                                          <w:marBottom w:val="0"/>
                                          <w:divBdr>
                                            <w:top w:val="none" w:sz="0" w:space="0" w:color="auto"/>
                                            <w:left w:val="none" w:sz="0" w:space="0" w:color="auto"/>
                                            <w:bottom w:val="none" w:sz="0" w:space="0" w:color="auto"/>
                                            <w:right w:val="none" w:sz="0" w:space="0" w:color="auto"/>
                                          </w:divBdr>
                                          <w:divsChild>
                                            <w:div w:id="120419781">
                                              <w:marLeft w:val="0"/>
                                              <w:marRight w:val="0"/>
                                              <w:marTop w:val="0"/>
                                              <w:marBottom w:val="0"/>
                                              <w:divBdr>
                                                <w:top w:val="none" w:sz="0" w:space="0" w:color="auto"/>
                                                <w:left w:val="none" w:sz="0" w:space="0" w:color="auto"/>
                                                <w:bottom w:val="none" w:sz="0" w:space="0" w:color="auto"/>
                                                <w:right w:val="none" w:sz="0" w:space="0" w:color="auto"/>
                                              </w:divBdr>
                                              <w:divsChild>
                                                <w:div w:id="1605574121">
                                                  <w:marLeft w:val="0"/>
                                                  <w:marRight w:val="0"/>
                                                  <w:marTop w:val="0"/>
                                                  <w:marBottom w:val="0"/>
                                                  <w:divBdr>
                                                    <w:top w:val="none" w:sz="0" w:space="0" w:color="auto"/>
                                                    <w:left w:val="none" w:sz="0" w:space="0" w:color="auto"/>
                                                    <w:bottom w:val="none" w:sz="0" w:space="0" w:color="auto"/>
                                                    <w:right w:val="none" w:sz="0" w:space="0" w:color="auto"/>
                                                  </w:divBdr>
                                                  <w:divsChild>
                                                    <w:div w:id="284580976">
                                                      <w:marLeft w:val="0"/>
                                                      <w:marRight w:val="0"/>
                                                      <w:marTop w:val="0"/>
                                                      <w:marBottom w:val="0"/>
                                                      <w:divBdr>
                                                        <w:top w:val="none" w:sz="0" w:space="0" w:color="auto"/>
                                                        <w:left w:val="none" w:sz="0" w:space="0" w:color="auto"/>
                                                        <w:bottom w:val="none" w:sz="0" w:space="0" w:color="auto"/>
                                                        <w:right w:val="none" w:sz="0" w:space="0" w:color="auto"/>
                                                      </w:divBdr>
                                                      <w:divsChild>
                                                        <w:div w:id="77558229">
                                                          <w:marLeft w:val="0"/>
                                                          <w:marRight w:val="0"/>
                                                          <w:marTop w:val="0"/>
                                                          <w:marBottom w:val="0"/>
                                                          <w:divBdr>
                                                            <w:top w:val="none" w:sz="0" w:space="0" w:color="auto"/>
                                                            <w:left w:val="none" w:sz="0" w:space="0" w:color="auto"/>
                                                            <w:bottom w:val="none" w:sz="0" w:space="0" w:color="auto"/>
                                                            <w:right w:val="none" w:sz="0" w:space="0" w:color="auto"/>
                                                          </w:divBdr>
                                                          <w:divsChild>
                                                            <w:div w:id="154594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1074</Words>
  <Characters>5907</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2017-08-22T14:14:00Z</dcterms:created>
  <dcterms:modified xsi:type="dcterms:W3CDTF">2017-08-22T15:33:00Z</dcterms:modified>
</cp:coreProperties>
</file>